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30250" cy="84899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487677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730249" cy="848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50pt;height:66.8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70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17130" cy="162115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81461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517129" cy="1621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91.90pt;height:127.6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на  2024 – 2028 годы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Еврейской автономной области от ______ № ______-</w:t>
      </w:r>
      <w:r>
        <w:rPr>
          <w:rFonts w:ascii="Times New Roman" w:hAnsi="Times New Roman"/>
          <w:sz w:val="28"/>
          <w:szCs w:val="28"/>
        </w:rPr>
        <w:t xml:space="preserve">пп</w:t>
      </w:r>
      <w:r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Еврейской автономной области «Здравоохранение в Еврейской автономной области» на  2024 – 2028 годы</w:t>
      </w:r>
      <w:r>
        <w:t xml:space="preserve">»</w:t>
      </w:r>
      <w:r/>
    </w:p>
    <w:p>
      <w:pPr>
        <w:jc w:val="both"/>
        <w:spacing w:after="0" w:line="240" w:lineRule="auto"/>
        <w:widowControl w:val="off"/>
      </w:pPr>
      <w:r/>
      <w:r/>
    </w:p>
    <w:p>
      <w:pPr>
        <w:jc w:val="both"/>
        <w:spacing w:after="0" w:line="240" w:lineRule="auto"/>
        <w:widowControl w:val="off"/>
      </w:pPr>
      <w:r/>
      <w:r/>
    </w:p>
    <w:p>
      <w:pPr>
        <w:jc w:val="both"/>
        <w:spacing w:after="0" w:line="240" w:lineRule="auto"/>
        <w:widowControl w:val="off"/>
      </w:pPr>
      <w:r/>
      <w:r/>
    </w:p>
    <w:p>
      <w:pPr>
        <w:ind w:firstLine="720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Ев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рейской автономной области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государственную программу Еврейской автономной области «Здравоохранение в Еврейской автономной области» на 2024 – 2025 годы, утвержденную постановлением правительства Еврейской автономной области от ____</w:t>
      </w:r>
      <w:r>
        <w:rPr>
          <w:rFonts w:ascii="Times New Roman" w:hAnsi="Times New Roman"/>
          <w:sz w:val="28"/>
          <w:szCs w:val="28"/>
        </w:rPr>
        <w:t xml:space="preserve">_______ № ____-</w:t>
      </w:r>
      <w:r>
        <w:rPr>
          <w:rFonts w:ascii="Times New Roman" w:hAnsi="Times New Roman"/>
          <w:sz w:val="28"/>
          <w:szCs w:val="28"/>
        </w:rPr>
        <w:t xml:space="preserve">пп</w:t>
      </w:r>
      <w:r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Еврейской автономной области «Здравоохранение в Еврейской автономной области» на 2024 – 2028 годы», следующие изменения и дополнения: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1.1. Абзац третий подраздела 3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Обоснование целей, задач и спо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собов их эффективного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решения в сфере охраны здоровья граждан и сфере</w:t>
      </w:r>
      <w:r>
        <w:rPr>
          <w:rFonts w:ascii="Times New Roman" w:hAnsi="Times New Roman" w:cs="Times New Roman"/>
          <w:b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государственного управления Еврейской автономной области,</w:t>
      </w:r>
      <w:r>
        <w:rPr>
          <w:rFonts w:ascii="Times New Roman" w:hAnsi="Times New Roman" w:cs="Times New Roman"/>
          <w:b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включая задачи, определенные в соответствии с национальными</w:t>
      </w:r>
      <w:r>
        <w:rPr>
          <w:rFonts w:ascii="Times New Roman" w:hAnsi="Times New Roman" w:cs="Times New Roman"/>
          <w:b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целями развития Российской Федерации, а также задачи,</w:t>
      </w:r>
      <w:r>
        <w:rPr>
          <w:rFonts w:ascii="Times New Roman" w:hAnsi="Times New Roman" w:cs="Times New Roman"/>
          <w:b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направленные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достижение общественно значимых результатов» раздела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Стратегические приоритеты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программы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«Здравоохранение в Еврейской автономной области» </w:t>
      </w:r>
      <w:r>
        <w:rPr>
          <w:rFonts w:ascii="Times New Roman" w:hAnsi="Times New Roman"/>
          <w:sz w:val="28"/>
          <w:szCs w:val="28"/>
        </w:rPr>
        <w:t xml:space="preserve">на  2024 – 2028 годы»: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0"/>
        <w:numPr>
          <w:ilvl w:val="0"/>
          <w:numId w:val="25"/>
        </w:numPr>
        <w:ind w:left="0" w:firstLine="709"/>
        <w:jc w:val="both"/>
        <w:spacing w:after="0" w:line="240" w:lineRule="auto"/>
        <w:tabs>
          <w:tab w:val="left" w:pos="850" w:leader="none"/>
          <w:tab w:val="left" w:pos="992" w:leader="none"/>
        </w:tabs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после подпункта: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3"/>
        <w:contextualSpacing/>
        <w:ind w:left="709"/>
        <w:jc w:val="both"/>
        <w:widowControl/>
        <w:tabs>
          <w:tab w:val="left" w:pos="992" w:leader="none"/>
        </w:tabs>
        <w:rPr>
          <w:rFonts w:ascii="Times New Roman" w:hAnsi="Times New Roman" w:eastAsia="Courier New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л</w:t>
      </w:r>
      <w:r>
        <w:rPr>
          <w:rFonts w:ascii="Times New Roman" w:hAnsi="Times New Roman" w:eastAsia="Arial" w:cs="Times New Roman"/>
          <w:sz w:val="28"/>
          <w:szCs w:val="28"/>
        </w:rPr>
        <w:t xml:space="preserve">иквидация</w:t>
      </w:r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</w:rPr>
        <w:t xml:space="preserve">дефицита</w:t>
      </w:r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</w:rPr>
        <w:t xml:space="preserve">медицинских</w:t>
      </w:r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кадров;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Courier New" w:cs="Times New Roman"/>
          <w:sz w:val="28"/>
          <w:szCs w:val="28"/>
          <w:highlight w:val="white"/>
        </w:rPr>
      </w:r>
      <w:r>
        <w:rPr>
          <w:rFonts w:ascii="Times New Roman" w:hAnsi="Times New Roman" w:eastAsia="Courier New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дополнить подпунктом следующее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>
        <w:rPr>
          <w:rFonts w:ascii="Times New Roman" w:hAnsi="Times New Roman" w:eastAsia="Arial" w:cs="Times New Roman"/>
          <w:sz w:val="28"/>
          <w:szCs w:val="28"/>
        </w:rPr>
        <w:t xml:space="preserve">организация и проведение переподготовки и повышения квалификации медицинских кадров</w:t>
      </w:r>
      <w:r>
        <w:rPr>
          <w:rFonts w:ascii="Times New Roman" w:hAnsi="Times New Roman" w:cs="Times New Roman"/>
          <w:sz w:val="28"/>
          <w:szCs w:val="28"/>
        </w:rPr>
        <w:t xml:space="preserve">;»;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numPr>
          <w:ilvl w:val="0"/>
          <w:numId w:val="24"/>
        </w:numPr>
        <w:ind w:left="0" w:firstLine="709"/>
        <w:jc w:val="both"/>
        <w:spacing w:after="0" w:line="240" w:lineRule="auto"/>
        <w:tabs>
          <w:tab w:val="left" w:pos="850" w:leader="none"/>
          <w:tab w:val="left" w:pos="992" w:leader="none"/>
        </w:tabs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после подпункта: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беспечение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дополнительного финансирования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дополнить подпунктом следующее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>
        <w:rPr>
          <w:rFonts w:ascii="Times New Roman" w:hAnsi="Times New Roman" w:eastAsia="Arial" w:cs="Times New Roman"/>
          <w:sz w:val="28"/>
          <w:szCs w:val="28"/>
        </w:rPr>
        <w:t xml:space="preserve">финансовое обеспечение мероприяти</w:t>
      </w:r>
      <w:r>
        <w:rPr>
          <w:rFonts w:ascii="Times New Roman" w:hAnsi="Times New Roman" w:eastAsia="Arial" w:cs="Times New Roman"/>
          <w:sz w:val="28"/>
          <w:szCs w:val="28"/>
        </w:rPr>
        <w:t xml:space="preserve">й по борьбе с новой коронавирусной инфекцией (COVID-19) за счет средств резервного фонда Правительства Российской Федерации».</w:t>
      </w:r>
      <w:r>
        <w:rPr>
          <w:rFonts w:ascii="Times New Roman" w:hAnsi="Times New Roman" w:eastAsia="Arial" w:cs="Times New Roman"/>
          <w:sz w:val="24"/>
          <w:szCs w:val="24"/>
        </w:rPr>
      </w:r>
      <w:r>
        <w:rPr>
          <w:rFonts w:ascii="Times New Roman" w:hAnsi="Times New Roman" w:eastAsia="Arial" w:cs="Times New Roman"/>
          <w:sz w:val="24"/>
          <w:szCs w:val="24"/>
        </w:rPr>
      </w:r>
    </w:p>
    <w:p>
      <w:pPr>
        <w:pStyle w:val="963"/>
        <w:ind w:firstLine="709"/>
        <w:jc w:val="both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r>
        <w:rPr>
          <w:rFonts w:ascii="Times New Roman" w:hAnsi="Times New Roman"/>
          <w:sz w:val="28"/>
          <w:szCs w:val="28"/>
          <w:lang w:val="ru-RU"/>
        </w:rPr>
        <w:t xml:space="preserve">В разделе </w:t>
      </w:r>
      <w:r>
        <w:rPr>
          <w:rFonts w:ascii="Times New Roman" w:hAnsi="Times New Roman" w:eastAsia="Courier New" w:cs="Times New Roman"/>
          <w:sz w:val="28"/>
          <w:szCs w:val="28"/>
        </w:rPr>
        <w:t xml:space="preserve">II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 «Паспорт государственной программы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Еврейской автономной области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Здравоохранение в Еврейской автономной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области» на 2024 – 2028 годы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»: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p>
      <w:pPr>
        <w:pStyle w:val="963"/>
        <w:numPr>
          <w:ilvl w:val="0"/>
          <w:numId w:val="19"/>
        </w:numPr>
        <w:ind w:left="0" w:firstLine="709"/>
        <w:jc w:val="both"/>
        <w:widowControl/>
        <w:tabs>
          <w:tab w:val="left" w:pos="850" w:leader="none"/>
          <w:tab w:val="left" w:pos="992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подраздела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 «</w:t>
      </w:r>
      <w:r>
        <w:rPr>
          <w:rFonts w:ascii="Times New Roman" w:hAnsi="Times New Roman" w:cs="Times New Roman"/>
          <w:sz w:val="28"/>
          <w:szCs w:val="28"/>
        </w:rPr>
        <w:t xml:space="preserve"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firstLine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стороку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Соисполнители государственной программы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изложить в следующей редакции;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>
        <w:trPr>
          <w:trHeight w:val="303"/>
        </w:trPr>
        <w:tc>
          <w:tcPr>
            <w:tcW w:w="35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«Соисполнители государственной программы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строительства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жилищно-коммунального хозяйства правительства Еврейской автономной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по управлению государственным имуществом Еврейской автономной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территориальный фонд обязательного медицинского страхования Еврейской автономной области»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963"/>
        <w:ind w:firstLine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стороку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 по годам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изложить в следующей редакции: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й государственной программы, в том числе по годам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за счет всех источников финансирования в 2024 –                     2028 годах составит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11626524,30 тыс. рублей, в том числе: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средства областного бюджета – 9884259,10 тыс. рублей;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- средства федерального бюджета – 1742265,20 тыс. рублей.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Источник финансирования – средства областного бюджета, в том числе: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2024 год – 2224565,40 тыс. рублей;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2025 год – 2046406,10 тыс. рублей;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год –1896371,00 тыс. рублей;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2027 год – 1858458,30 тыс. рублей;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2028 год – 1858458,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  тыс.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рублей.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Источник финансирования – средства федерального бюджета, в том числе: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2024 год – 483845,30 тыс. рублей;</w:t>
            </w:r>
            <w:r/>
          </w:p>
          <w:p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2025 год – 501828,40 тыс. рублей;</w:t>
            </w:r>
            <w:r/>
          </w:p>
          <w:p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2026 год – 330977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,50 тыс. рублей;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2027 год – 212807,00 тыс. рублей;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2028 год – 212807,00 тыс. рублей.»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963"/>
        <w:numPr>
          <w:ilvl w:val="0"/>
          <w:numId w:val="22"/>
        </w:numPr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подраздел 3 «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Структурные элементы государственной программы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Еврейской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автономной области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firstLine="709"/>
        <w:jc w:val="both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дополнить пунктом 19 следующего содержания, изменив последующую нумерацию;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2376"/>
        <w:gridCol w:w="2551"/>
        <w:gridCol w:w="3335"/>
      </w:tblGrid>
      <w:tr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«19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gridSpan w:val="3"/>
            <w:tcW w:w="8262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мероприятий «Переподготовка и повышение квалификации медицинских кадров»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492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департамент здравоохранения правительства Еврейской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реализации: 2024 год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19.1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tcW w:w="2376" w:type="dxa"/>
            <w:vMerge w:val="restart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Задача 1 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Организация и проведение переподготовки и повышения квалификации медицинских кадров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Аттестация медицинских и фармацевтических работников – не менее 250 работников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Удовлетворенность населения медицинской помощью»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963"/>
        <w:ind w:firstLine="709"/>
        <w:jc w:val="both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дополнить пунктом 28 следующего содержания, изменив последующую нумерацию;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2376"/>
        <w:gridCol w:w="2551"/>
        <w:gridCol w:w="3335"/>
      </w:tblGrid>
      <w:tr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«28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gridSpan w:val="3"/>
            <w:tcW w:w="8262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мероприятий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Мероприятия, н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аправленные на профилактику и устранение последствий распространения коронавирусной инфекции»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492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реализации: 2024 год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28.1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tcW w:w="2376" w:type="dxa"/>
            <w:vMerge w:val="restart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Задача 1 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  <w:p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Организована разводка кислородом 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Удовлетворенность населения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 медицинской помощью»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963"/>
        <w:ind w:left="709"/>
        <w:jc w:val="both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 28 изложить в следующей редакции: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Style w:val="815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2376"/>
        <w:gridCol w:w="2551"/>
        <w:gridCol w:w="3335"/>
      </w:tblGrid>
      <w:tr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29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gridSpan w:val="3"/>
            <w:tcW w:w="82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492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реализацию: департамент здравоохран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 правительства Еврейской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реализации: 2024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29.1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tcW w:w="2376" w:type="dxa"/>
            <w:vMerge w:val="restart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Исполнение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Проведение ремонтных работ в ОГБУЗ «Областная больница»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 2026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годы).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jc w:val="center"/>
              <w:widowControl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Разработка проекта ок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руга горно-санитарной охраны санаторно-курортного комплекса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Кульдур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в 2024 году.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jc w:val="center"/>
              <w:widowControl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Проведение работ по вынесению на местность установленных границ округов санитарной (горно-санитарной) охраны курортов и лечебно-оздоровительных местностей и установление на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границах второй и третей зон округа санитарной (горно-санитарной) охраны информационных табло с информацией о режиме этих зон.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Разработка специальных медицинских заключений лечебно-оздоровительных местностей и курортов.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Удовлетворенность населения медицинс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кой помощью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963"/>
        <w:numPr>
          <w:ilvl w:val="0"/>
          <w:numId w:val="21"/>
        </w:numPr>
        <w:ind w:left="0" w:firstLine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подраздел 4 «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Финансовое обеспечение государственной программы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изложить в новой редакции»: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jc w:val="center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4. Финансовое обеспечение государственной программы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Еврейской автономной области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p>
      <w:pPr>
        <w:pStyle w:val="963"/>
        <w:jc w:val="center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p>
      <w:pPr>
        <w:pStyle w:val="963"/>
        <w:jc w:val="center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4.1. Финансовое обеспечение государственной программы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p>
      <w:pPr>
        <w:pStyle w:val="963"/>
        <w:jc w:val="center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Еврейской автономной области 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за счет средств областного бюджета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p>
      <w:pPr>
        <w:pStyle w:val="963"/>
        <w:jc w:val="center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tbl>
      <w:tblPr>
        <w:tblStyle w:val="815"/>
        <w:tblW w:w="0" w:type="auto"/>
        <w:tblBorders>
          <w:bottom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/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792" w:type="dxa"/>
            <w:vAlign w:val="center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7068" w:type="dxa"/>
            <w:vAlign w:val="center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66" w:type="dxa"/>
            <w:vAlign w:val="center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8" w:type="dxa"/>
            <w:vAlign w:val="center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63"/>
        <w:ind w:left="709"/>
        <w:jc w:val="both"/>
        <w:spacing w:line="14" w:lineRule="auto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Style w:val="815"/>
        <w:tblW w:w="15312" w:type="dxa"/>
        <w:tblLayout w:type="fixed"/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2"/>
          <w:tblHeader/>
        </w:trPr>
        <w:tc>
          <w:tcPr>
            <w:tcW w:w="2551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Государственная программа «Здравоохранение в Еврейской автономной области» на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2024 – 2028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9884259,10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2224565,40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2046406,10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1896371,00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1858458,30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6646091,80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1391679,20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1410637,90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1281387,30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1281193,70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1281193,70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по управлению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государстьвенным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имуществом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территориальный фонд обязательного медицинского страхования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58952,00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29476,00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29476,00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92432,30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21009,00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5837,80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1389,80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Психиатрическая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1061082,80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242814,00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204337,40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Инфекционная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1442,30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Онкологический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диспансер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5018,20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1239,80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946,90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946,90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946,90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Кожно-венерологический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диспансер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77888,30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18300,40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14859,70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ОГКУЗ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Противотуберкулез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диспансер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737771,00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168996,30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142073,90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142233,60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142233,60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142233,60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69192,80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22307,40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12525,80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12525,80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12525,80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Станция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переливания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257728,00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57086,00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48623,00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73060,00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16602,40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13736,10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14240,50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14240,50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14240,50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249738,20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80640,60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57974,40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57974,40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26574,40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26574,40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208058,70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60199,10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Облученская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104,60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Теплоозерская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959,20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553,00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1160,90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640,10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11609,70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1540,70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2697,20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2697,20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2697,20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Николаевская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10006,40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3360,80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ОГПОБУ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Биробиджанский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колледж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273511,30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74585,70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49713,40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49713,40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49713,40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Еврейскйо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автономной области, 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38860,50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35106,40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3754,10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«Развитие системы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оказания первичной медико-санитарной помощи»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N100000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24061,30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11403,20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1 «Обеспечение закупки авиационных работ в целях оказания медицинской помощи за счет средств областного бюджета»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130N155540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24061,30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11403,20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130N155540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24061,30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11403,20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«Борьба с сердечно-сосудистыми заболеваниями»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  <w:lang w:val="ru-RU"/>
              </w:rPr>
              <w:t xml:space="preserve">252862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541,90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  <w:lang w:val="ru-RU"/>
              </w:rPr>
              <w:t xml:space="preserve">252862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541,90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Оснащение оборудованием региональных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сосудистых центров и первичных сосудистых отделений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  <w:lang w:val="ru-RU"/>
              </w:rPr>
              <w:t xml:space="preserve">251920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  <w:lang w:val="ru-RU"/>
              </w:rPr>
              <w:t xml:space="preserve">251920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«Борьба с онкологическими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N300000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Переоснащение медицинских организаций, оказывающих медицинскую помощь больным с онкологическими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N351900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Онкологический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диспансер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N351900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«Обеспечение медицинских организаций системы здравоохранения квалифицированными кадрами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56331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12604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«Реализация закона Еврейской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автономной области от 30.10.2013 № 390-ОЗ «О мерах по привлечению медицинских работников для работы в областных учреждениях здравоохранения и их закреплению»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56331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12604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10931,80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21900,00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17293,60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4117,60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3294,00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3294,00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3294,00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3294,00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3212,90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Психиатрическая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2187,20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Инфекционная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1442,30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sz w:val="20"/>
                <w:szCs w:val="20"/>
              </w:rPr>
              <w:t xml:space="preserve">274,70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sz w:val="20"/>
                <w:szCs w:val="20"/>
              </w:rPr>
              <w:t xml:space="preserve">274,70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sz w:val="20"/>
                <w:szCs w:val="20"/>
              </w:rPr>
              <w:t xml:space="preserve">274,70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Онкологический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диспансер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3261,40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776,60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Противотуберкулез-ный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диспансер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N586270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7034,40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1701,20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1333,30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1333,30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1333,30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1333,30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врейской автономной области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N700000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545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Создание единого цифрового контура</w:t>
            </w:r>
            <w:r/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в здравоохранении на основе единой государственной информационной системы здравоохранения (ЕГИСЗ)»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N753650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545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N753650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545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Модернизация первичного звена здравоохранения Российской Федерации»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44438,90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40278,60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4160,30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«Реализация региональных проектов модернизации первичного звена»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5918,70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1758,40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4160,30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Теплоозерская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766,20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Николаевская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4770,00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1015,90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3754,10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9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50 тыс. человек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1148,70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Теплоозерская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766,20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Николаевская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Осуществление капитального ремонта зданий медицинских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3688,50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1015,90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2672,60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хозяйства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53650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3688,50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1015,90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2672,60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«Подготовка территорий под возводимые модульные конструкции и врачебные амбулатории, расположенные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Благоустройство земельных участков врачебных амбулаторий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«Разработка проектно-сметной документации в целях капитального ремонта ОГБУЗ «Октябрьская центральная районная больница» (амбулаторно-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поликлиничесий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корпус, инфекционное отделение)»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N922610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3616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3616</w:t>
            </w:r>
            <w:r>
              <w:rPr>
                <w:rFonts w:ascii="Times New Roman" w:hAnsi="Times New Roman" w:cs="Times New Roman"/>
                <w:lang w:val="ru-RU"/>
              </w:rPr>
              <w:t xml:space="preserve">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N922610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3616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3616</w:t>
            </w:r>
            <w:r>
              <w:rPr>
                <w:rFonts w:ascii="Times New Roman" w:hAnsi="Times New Roman" w:cs="Times New Roman"/>
                <w:lang w:val="ru-RU"/>
              </w:rPr>
              <w:t xml:space="preserve">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«Технологическое присоединение к сетям электроснабжения быстровозводимых модульных конструкций объектов медицинских организаций»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</w:t>
            </w:r>
            <w:r>
              <w:rPr>
                <w:rFonts w:ascii="Times New Roman" w:hAnsi="Times New Roman" w:cs="Times New Roman"/>
                <w:lang w:val="ru-RU"/>
              </w:rPr>
              <w:t xml:space="preserve">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813,70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813,70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Облученская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</w:t>
            </w:r>
            <w:r>
              <w:rPr>
                <w:rFonts w:ascii="Times New Roman" w:hAnsi="Times New Roman" w:cs="Times New Roman"/>
                <w:lang w:val="ru-RU"/>
              </w:rPr>
              <w:t xml:space="preserve">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Теплоозерская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</w:t>
            </w:r>
            <w:r>
              <w:rPr>
                <w:rFonts w:ascii="Times New Roman" w:hAnsi="Times New Roman" w:cs="Times New Roman"/>
                <w:lang w:val="ru-RU"/>
              </w:rPr>
              <w:t xml:space="preserve">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</w:t>
            </w:r>
            <w:r>
              <w:rPr>
                <w:rFonts w:ascii="Times New Roman" w:hAnsi="Times New Roman" w:cs="Times New Roman"/>
                <w:lang w:val="ru-RU"/>
              </w:rPr>
              <w:t xml:space="preserve">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477,30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477,30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Смидовичская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</w:t>
            </w:r>
            <w:r>
              <w:rPr>
                <w:rFonts w:ascii="Times New Roman" w:hAnsi="Times New Roman" w:cs="Times New Roman"/>
                <w:lang w:val="ru-RU"/>
              </w:rPr>
              <w:t xml:space="preserve">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5 «Приобретение и монтаж быстровозводимых модульных конструкций объектов медицинских организаций за счет средств областного бюджета»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N9V3650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2891,30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2891,30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N9V3650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2891,30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2891,30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Оснащение септиками фельдшерско-акушерских пунктов, смонтированных в 2020 году»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N9V3650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11479,70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11479,70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22290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11479,70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11479,70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омплекс  процессных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 «Развитие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ских средств и психоактивных веществ, в том числе у детей, профилактика инфекционных заболеваний, включая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иммунопрофилак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-тику»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132816,10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29299,50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25726,60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25930,00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25930,00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25930,00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Центра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медицинской профилактики и отделения спортивной медицины, кабинета медико-социальной помощи и антирабического центра 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10664,80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2535,60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10664,80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2535,60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5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«Профилактика инфекционных заболеваний, включая иммунопрофилактику (приобретение вакцин)»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1300185310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119471,60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26271,60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23300,00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23300,00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23300,00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23300,00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1300185310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119471,60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26271,60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23300,00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23300,00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23300,00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23300,00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кабинетов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профпатологии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больница», ОГБУЗ «Николаевская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2679,70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394,30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597,70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597,70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597,70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1229,50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1122,10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121,90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Николаевская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328,10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«Развитие высокотехнологичной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1300200000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9250,00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«Возмещение стоимости проезда до места лечения и обратно гражданам, проживающим на территории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1300206230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9250,00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1300206230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9250,00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8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«Совершенствование системы оказания медицинской помощи больным туберкулезом»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1300300000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752602,20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171696,20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145114,30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145263,90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145263,90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145263,90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ОГКУЗ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Противотуберкуле-зный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1300300590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729420,70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167059,90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140478,00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140627,60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140627,60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140627,60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1300300590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729420,70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167059,90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140478,00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140627,60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140627,60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140627,60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Меры по оказанию медицинской помощи гражданам, больным туберкулезом, за пределами Еврейской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автонмоной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1300348530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23181,50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1300348530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23181,50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«Совершенствование системы оказания медицинской помощи больным с психическими расстройствами и наркологическими заболеваниями»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1300400590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1058895,60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242293,20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203920,80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Психиатрическая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1300400590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1058895,60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242293,20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203920,80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Психиатрическая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1300400590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1058895,60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242293,20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203920,80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204227,20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«Совершенствование оказания скорой, в том числе скорой специализированной, медицинской помощи»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1300500590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43277,20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9049,90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6303,60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7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«Расходы на обеспечение деятельности (оказан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ие услуг) ОГБУЗ «Станция скорой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1300500590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42032,90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7805,60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6303,60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1300500590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42032,90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7805,60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6303,60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9307,90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«Осуществление технологического присоединения к сетям электроснабжения модульных гаражей для службы скорой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медицинской помощи и неотложной помощи (не менее 7)»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1300500590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1244,30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1244,30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1300500590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1244,30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1244,30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 «Развитие службы крови»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1300600000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257728,00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57086,00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48623,00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Станция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переливания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крови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1300600590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257728,00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57086,00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48623,00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Станция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переливания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крови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1300600590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257728,00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57086,00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48623,00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процессных мероприятий «Развитие иных специализированных видов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362858,20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95976,50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66304,10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66859,20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66859,20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66859,20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Мероприятие1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77888,30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18300,40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14859,70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77888,30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18300,40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14859,70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Расходы на обеспечение деятельности (выполнение работ) ОГБУЗ «Бюро судебно-медицинской экспертизы» – проведение судебно-медицинских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193417,70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45558,10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193417,70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45558,10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Мероприяие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3 «Приобретение газового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хроматогрофа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для нужд ОГБУЗ «Бюро судебно-медицинской экспертизы»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1300722150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14641,00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14641,00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1300722150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14641,00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14641,00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«Медицинская помощь при заболеваниях, включенных в базовую программу ОМС, гражданам РФ, не идентифицированным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 не застрахованным в системе ОМС 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tabs>
                <w:tab w:val="center" w:pos="127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4384,40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847,70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Мероприятие 5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72526,80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16483,40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13631,80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14137,20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14137,20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14137,20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72526,80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16483,40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13631,80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14137,20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14137,20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14137,20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мероприятий «Совершенствование и развитие пренатальной (дородовой) диагностики нарушения развития ребенка и неонатального скрининга»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23145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4615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>
              <w:rPr>
                <w:rFonts w:ascii="Times New Roman" w:hAnsi="Times New Roman" w:cs="Times New Roman"/>
                <w:lang w:val="ru-RU"/>
              </w:rPr>
              <w:t xml:space="preserve">32,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4632,60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Обеспечение обследования новорожденных детей на наследственные заболевания (неонатальный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скрининг), обследование беременных женщин: пренатальная (дородовая) диагностика нарушений развития ребенка»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1300970720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21446,50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1300970720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21446,50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4289,30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</w:t>
            </w:r>
            <w:r>
              <w:rPr>
                <w:rFonts w:ascii="Times New Roman" w:hAnsi="Times New Roman" w:cs="Times New Roman"/>
              </w:rPr>
              <w:t xml:space="preserve">R3850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1699,00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342,80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</w:t>
            </w:r>
            <w:r>
              <w:rPr>
                <w:rFonts w:ascii="Times New Roman" w:hAnsi="Times New Roman" w:cs="Times New Roman"/>
              </w:rPr>
              <w:t xml:space="preserve">R3850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1699,00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342,80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Мероприятие 3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«Реализация мероприятий по проведению массового обследования новорожденных на врожденные и (или) наследственные заболевания (расширенный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неонатальный скрининг) за счет средств областного бюджета»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</w:t>
            </w:r>
            <w:r>
              <w:rPr>
                <w:rFonts w:ascii="Times New Roman" w:hAnsi="Times New Roman" w:cs="Times New Roman"/>
              </w:rPr>
              <w:t xml:space="preserve">R3850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705,60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705,60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13009</w:t>
            </w:r>
            <w:r>
              <w:rPr>
                <w:rFonts w:ascii="Times New Roman" w:hAnsi="Times New Roman" w:cs="Times New Roman"/>
              </w:rPr>
              <w:t xml:space="preserve">V3850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705,60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705,60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мероприятий 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«Реализация комплекса мероприятий по развитию медицинской реабилитации и санаторно-курортного лечения, в том числе детей»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9425,00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«Санаторное оздоровление детей, страдающих различными хроническими заболеваниями, состоящих на учете в лечебном учреждении области»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1301070650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9425,00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17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0707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1301070650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9425,00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1885,00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мероприятий «Организация кадрового обеспечения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областных государственных учреждений здравоохранения»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287128,90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78585,70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Мероприятие 1 «Расходы на обеспечение деятельности (оказание услуг) 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273424,50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74498,90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ОГПОБУ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Биробиджанский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медицинский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колледж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0705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273424,50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74498,90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Социальная поддержка педагогических работников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1301186280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ОГПОБУ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Биробиджанский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медицинский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колледж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1301186280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86,80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Выплата стипендий студентам, ординаторам, обучающимся в медицинских государственных образовательных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организациях высшего образования, зачисленным по целевому набору для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1301109270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13617,60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</w:t>
            </w:r>
            <w:r>
              <w:rPr>
                <w:rFonts w:ascii="Times New Roman" w:hAnsi="Times New Roman" w:cs="Times New Roman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1301109270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13617,60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2404,40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мероприятий «Стимулирование привлечения и закрепления медицинских работников, имеющих высшее и среднее медицинское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1301200000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еализация мероприятий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врачебных амбулаторий, центров (отд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13012</w:t>
            </w:r>
            <w:r>
              <w:rPr>
                <w:rFonts w:ascii="Times New Roman" w:hAnsi="Times New Roman" w:cs="Times New Roman"/>
              </w:rPr>
              <w:t xml:space="preserve">R1380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13012</w:t>
            </w:r>
            <w:r>
              <w:rPr>
                <w:rFonts w:ascii="Times New Roman" w:hAnsi="Times New Roman" w:cs="Times New Roman"/>
              </w:rPr>
              <w:t xml:space="preserve">R1380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процессных мероприятий «Переподготовка и повышение квалификации медицинских кадров»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321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«Переподготовка и повышение квалификации медицинских кадров»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1301300000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1301340780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мероприятий «Совершенствование системы лекарственного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обеспечения в амбулаторных условиях»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1017684,20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251695,40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1301505530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1301505530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Оказание социальной помощи гражданам, удостоенным почетного звания «Почетный гражданин Еврейской автономной области», в части лекарственного обеспечения»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Оказание социальной помощи на оплату лекарственных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945398,80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231650,00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945398,80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231650,00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«О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же детей, рожденных ВИЧ-инфицированными матерями, проживающих на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территории Еврейской автономной области»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5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Обеспечение детей с сахарным диабетом 1-го типа в возрасте от 2 до 4 лет системами непрерывного мониторинга глюкозы»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</w:t>
            </w:r>
            <w:r>
              <w:rPr>
                <w:rFonts w:ascii="Times New Roman" w:hAnsi="Times New Roman" w:cs="Times New Roman"/>
              </w:rPr>
              <w:t xml:space="preserve">R1060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</w:t>
            </w:r>
            <w:r>
              <w:rPr>
                <w:rFonts w:ascii="Times New Roman" w:hAnsi="Times New Roman" w:cs="Times New Roman"/>
              </w:rPr>
              <w:t xml:space="preserve">R1060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94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6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Обеспечение детей с сахарным диабетом 1-го типа в возрасте от 4 до 17 лет включительно системами непрерывного мониторинга глюкозы»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</w:t>
            </w:r>
            <w:r>
              <w:rPr>
                <w:rFonts w:ascii="Times New Roman" w:hAnsi="Times New Roman" w:cs="Times New Roman"/>
              </w:rPr>
              <w:t xml:space="preserve">R1070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</w:t>
            </w:r>
            <w:r>
              <w:rPr>
                <w:rFonts w:ascii="Times New Roman" w:hAnsi="Times New Roman" w:cs="Times New Roman"/>
              </w:rPr>
              <w:t xml:space="preserve">R1070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«Комплексная информатизация учреждений здравоохранения и формирование интеграционной среды для медицинских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информационных систем»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111762,80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48962,80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«Техническая поддержка региональной медицинской информационной системы»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109908,50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47108,50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109908,50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47108,50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Мероприятие 2 «Интеграция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пециализированного программного обеспечения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«Исток» (подсистемы для обеспечения работы ОГБУЗ «Станция скорой медицинской помощи») с государственной информационной системой здравоохранения «РМИС ЕАО»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1854,30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1854,30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484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1854,30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1854,30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«Совершенствование оказания паллиативной помощи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взрослому населению и детям»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19912,60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4038,00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3211,60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«Расходы на обеспечение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«Детская областная больница», ОГБУЗ «Онкологический диспансер»,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больница», 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18063,80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3499,10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2885,10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487,60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93,50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93,50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Детская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2624,90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624,90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Онкологический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диспансер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1673,00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379,40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316,50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8011,11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1201,80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987,50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599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Николаевская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5267,20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1199,50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987,60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Обеспечение медицинских организаций,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в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том числе для использования на дому»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</w:t>
            </w:r>
            <w:r>
              <w:rPr>
                <w:rFonts w:ascii="Times New Roman" w:hAnsi="Times New Roman" w:cs="Times New Roman"/>
              </w:rPr>
              <w:t xml:space="preserve">R2010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1848,80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538,90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326,50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</w:t>
            </w:r>
            <w:r>
              <w:rPr>
                <w:rFonts w:ascii="Times New Roman" w:hAnsi="Times New Roman" w:cs="Times New Roman"/>
              </w:rPr>
              <w:t xml:space="preserve">R2010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1848,80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538,90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326,50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Николаевская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13017</w:t>
            </w:r>
            <w:r>
              <w:rPr>
                <w:rFonts w:ascii="Times New Roman" w:hAnsi="Times New Roman" w:cs="Times New Roman"/>
              </w:rPr>
              <w:t xml:space="preserve">R2010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803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298,50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126,40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«Предоставление услуг организациями государственной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системы здравоохранения, обеспечивающими функционирование отрасли, и осуществление иных мероприятий в сфере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1301800000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160490,20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37931,00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«Расходы на обеспечение деятельности (оказание услуг) ОГБУЗ «Областная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1301800590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160490,20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37931,00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1301800590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21205,80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4944,20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4065,40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4065,40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4065,40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4065,40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1301800590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139284,40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32986,80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«Предоставление услуг патолого-анатомическими отделениями областных учреждений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Облученская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«Ленинская центральная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патолого-анатомические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отделения)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15720,10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3742,90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Облученская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324,60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683,60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162,80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130,20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130,20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130,20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Николаевская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1301900590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 «Страховые взносы на обязательное медицинское страхование неработающего населения»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5417923,60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1178346,90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Обязательное медицинское страхование неработающего населения»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1302077101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5417923,60</w:t>
            </w:r>
            <w:r/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1178346,90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1302077101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5417923,60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1178346,90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 процессных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мероприятий «Совершенствование системы оказания медицинской помощи больным прочими заболеваниями»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1849,10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354,20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366,90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1 «Профилактика ВИЧ-инфекции и гепатитов B и C, в том числе с привлечением к реализации указанных мероприятий социально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ориентированных некоммерческих организаций»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</w:t>
            </w:r>
            <w:r>
              <w:rPr>
                <w:rFonts w:ascii="Times New Roman" w:hAnsi="Times New Roman" w:cs="Times New Roman"/>
              </w:rPr>
              <w:t xml:space="preserve">R2020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</w:t>
            </w:r>
            <w:r>
              <w:rPr>
                <w:rFonts w:ascii="Times New Roman" w:hAnsi="Times New Roman" w:cs="Times New Roman"/>
              </w:rPr>
              <w:t xml:space="preserve">R2020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04"/>
        </w:trPr>
        <w:tc>
          <w:tcPr>
            <w:tcW w:w="255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2 «Закупка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хранения Российской Федерации»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</w:t>
            </w:r>
            <w:r>
              <w:rPr>
                <w:rFonts w:ascii="Times New Roman" w:hAnsi="Times New Roman" w:cs="Times New Roman"/>
              </w:rPr>
              <w:t xml:space="preserve">R2020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371,60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72,50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</w:t>
            </w:r>
            <w:r>
              <w:rPr>
                <w:rFonts w:ascii="Times New Roman" w:hAnsi="Times New Roman" w:cs="Times New Roman"/>
              </w:rPr>
              <w:t xml:space="preserve">R2020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371,60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72,50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3 «Закупка диагностических средств для выявления, определения чувствительности микобактерии туберкулеза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мониторинга лечения лиц, больных туберкулезом с множественной лекарственной устойчивостью возбудителя, в соответствии с перечнем, утвержде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</w:t>
            </w:r>
            <w:r>
              <w:rPr>
                <w:rFonts w:ascii="Times New Roman" w:hAnsi="Times New Roman" w:cs="Times New Roman"/>
              </w:rPr>
              <w:t xml:space="preserve">R2020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1315,90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235,20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262,60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ОГКУЗ «Противотуберкулезный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диспанср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13021</w:t>
            </w:r>
            <w:r>
              <w:rPr>
                <w:rFonts w:ascii="Times New Roman" w:hAnsi="Times New Roman" w:cs="Times New Roman"/>
              </w:rPr>
              <w:t xml:space="preserve">R2020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1315,90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235,20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262,60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 процессных мероприятий «Предоставление иного межбюджетного трансферта из средств областного бюджета бюджету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территориального фонда обязательного медицинского страхования Еврейской автономной области на дополнительное финансовое обеспечение оказан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ия скорой, в том числе скорой специализированной, медицинской помощи в пределах базовой программы обязательного медицинского страхования»</w:t>
            </w:r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1302500000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1 «Предоставление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финансовое обеспечение оказания скорой, в том 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сле скорой специализированной, медицинской помощи в пределах базовой программы обязательного медицинского страхования»</w:t>
            </w:r>
            <w:r/>
          </w:p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1302570960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фонд обязательного медицинского страхования Еврейской автономной области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1302570960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«Мероприятия, направленные на профилактику и устранение последствий распространения коронавирусной инфекции»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по борьбе с новой коронавирусной инфекцией (COVID-19) – организация обеспечения кислородом ОГБУЗ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1302700000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832,60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832,60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Николаевская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районная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больница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1302758440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832,60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832,60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8332,40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1013,30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«Проведение ремонтных работ в 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«Разработка описания местоположения границ округа горно-санитарной охраны курорта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управлению государственным имуществом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роведение работ по вынесению на местность установленных границ округов санитарной (горно-санитарной) охраны курортов и лечебно-оздоровительных местностей и установление на границах второй и третей зон округа санитарной (горно-санитарной) охраны информацион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ных табло с информацией о режиме этих зон»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управлению государственным имуществом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5,80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специальных медицинских заключений лечебно-оздоровительных местностей и курортов»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ind w:left="5244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6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Финансовое обеспечение государственной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jc w:val="center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Еврейской автономной 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области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за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счет средств областного бюджета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p>
      <w:pPr>
        <w:pStyle w:val="963"/>
        <w:jc w:val="center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прогнозная оценка привлекаемых 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реализацию ее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целей средств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бюджета,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бюджетов муниципальных образований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внебюджетных источников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Государственная программа «Здравоохранение в Еврейской автономной области» на 2024 –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11626524,30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2708410,70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2548234,50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2227348,50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2071265,30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2071265,30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1742265,20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483845,30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501828,40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330977,50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9884259,10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2224565,40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2046406,10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1896371,00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«Развитие системы оказания первичной медико-санитарной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362732,10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75048,00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68282,10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338670,80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63644,80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65277,70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24061,30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11403,20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закупки авиационных работ в целях оказания медицинской помощи за счет средств областного бюджета»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362732,10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75048,00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68282,10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338670,80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63644,80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65277,70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24061,30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11403,20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«Борьба с сердечно-сосудистыми заболеваниями»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78259,80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41428,80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17466,90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19364,10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77477,20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41014,50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17292,20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19170,50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174,70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54194,50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17363,50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17466,90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19364,10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53652,60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17189,90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17292,20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19170,50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174,70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Оснащение оборудованием региональных сосудистых центров и первичных сосудистых отделений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24065,30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24065,30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23824,60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23824,60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«Борьба с онкологическими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8380,10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8380,10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8296,30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8296,30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«Создание и оснащение референс-центров для проведения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иммуногистохимических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, патоморфологических исследований и лучевых методов исследований,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переоснащение сети региональных медицинских организаций, оказывающих помощь больным онкологическими заболеваниями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 субъектах Российской Федерации»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8380,10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8380,10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8296,30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8296,30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6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«Обеспечение медицинских организаций системы здравоохранения квалифицированными кадрами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56331,80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12604,60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56331,80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12604,60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Реализация закона Еврейской автономной области от 30.10.2013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№ 390-ОЗ «О мерах по привлечению медицинских работников для работы в областных учреждениях здравоохранения и их закреплению»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56331,80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12604,60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56331,80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12604,60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врейской автономной области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«Создание единого цифрового контура в здравоохранении на основе единой государственной информационной системы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54532,00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54532,00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53986,70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53986,70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54532,00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54532,00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53986,70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53986,70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ый проект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врейской автономной области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Модернизация первичного звена здравоохранения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Российской Федерации»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293702,30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108799,00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184903,30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257737,30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76994,30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180743,00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35965,00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31804,70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4160,30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«Реализация региональных проектов модернизации первичного звена»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263656,00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78752,70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184903,30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257737,30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76994,30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180743,00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5918,70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1758,40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4160,30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«Приобретение и монтаж быстровозводимых модульных конструкций объектов медицинских организаций»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48066,70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48066,70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46985,20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46985,20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1081,50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1081,50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«Пр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поселках городского типа и малых городах с численностью населения до 50 тыс. человек»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51055,00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18055,00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49906,30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32257,50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17648,80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1148,70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742,50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164534,3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45752,70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118781,60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160845,80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44736,80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116109,00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3688,50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1015,90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2676,60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территорий под возводимые модульные конструкции и врачебные амбулатории, расположенные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Благоустройство земельных участков врачебных амбулаторий»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Разработка проектно-сметной документации в целях капитального ремонта ОГБУЗ «Октябрьская центральная районная больница» (амбулаторно-поликлинический корпус, инфекционное отделение)»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3616,00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3616,00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3616,00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3616,00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Технологическое присоединение к сетям электроснабжения быстровозводимых модульных конструкций объектов медицинских организаций»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813,7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813,7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813,7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813,7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5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 за счет средств областного бюджета»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2891,30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2891,30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2891,30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2891,30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Мероприятие 6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Оснащение септиками фельдшерско-акушерских пунктов, смонтированных в 2020 году»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Региональный проект Еврейской автономной области «Разработка и реализация программы системной поддержки и повышения качества жизни граждан старшего поколения» – «Старшее поколение»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потребления табака, алкоголя, наркотических средств и псих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оактивных веществ, в том числе у детей, профилактика инфекционных заболеваний, включая иммунопрофилактику»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132816,10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29299,50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25726,60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132816,10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29299,50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25726,60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 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10664,80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10664,80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Профилактика инфекционных заболеваний, включая иммунопрофилактику (приобретение вакцин)»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119471,60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26271,60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119471,60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26271,60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кабинетов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профпатологии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3.1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кабинетов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профпатологии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1229,50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1229,50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234,30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3.2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кабинетов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профпатологии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121,90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97,50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121,90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97,50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.3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кабинетов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профпатологии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328,10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328,10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«Развитие высокотехнологичной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9250,00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9250,00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стоимости проезда до места лечения и обратно гражданам, проживающим на территории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9250,00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9250,00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«Совершенствование системы оказания медицинской помощи больным туберкулезом»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752602,20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171969,20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145114,30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752602,20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171969,20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145114,30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729420,70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167059,90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140478,00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729420,70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167059,90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140478,00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Меры по оказанию медицинской помощи гражданам, больным туберкулезом, за пределами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23181,50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23181,50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4636,30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«Совершенствование системы оказания медицинской помощи больным с психическими расстройствами и наркологическими заболеваниями»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1058895,60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242293,20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203920,80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1058895,60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242293,20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203920,80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1058895,60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242293,20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203920,80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1058895,60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242293,20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203920,80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«Совершенствование оказания скорой, в том числе скорой специализированной, медицинской помощи»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43277,20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9049,90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6303,60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43277,20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9049,90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6303,60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(оказание услуг) ОГБУЗ «Станция скорой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42032,90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7805,60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6303,60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42032,90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7805,60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6303,60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Осуществление технологического присоединения к сетям электроснабжения модульных гаражей для службы скорой медицинской помощи и неотложной помощи (не менее 7)»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1244,30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1244,30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1244,30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1244,30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 «Развитие службы крови»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257728,00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57086,00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48623,00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257728,00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57086,00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48623,00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«Станция переливания крови»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257728,00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57086,00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48623,00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257728,00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57086,00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48623,00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«Развитие иных специализированных видов медицинской помощи взрослому населению»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362858,20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95976,50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66304,10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362858,20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95976,50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66304,10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77888,30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18300,40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14859,70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77888,30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18300,40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14859,70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(выполнение работ) ОГБУЗ «Бюро судебно-медицинской экспертизы» – проведение судебно-медицинских экспертиз»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193417,70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45558,10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193417,70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45558,10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«Приобретение газового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хроматогрофа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для нужд ОГБУЗ «Бюро судебно-медицинской экспертизы»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14641,00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14641,00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14641,00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14641,00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Медицинская помощь при заболеваниях, включенных в базовую программу ОМС, гражданам РФ, не идентифицированным и не застрахованным в системе ОМС 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4384,40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4384,40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847,70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Мероприятие 5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72526,80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16483,40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13631,80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72526,80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16483,40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13631,80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«Совершенствование и развитие пренатальной (дородовой) диагностики нарушения развития ребенка и неонатального скрининг»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39142,10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8257,60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7717,00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7722,50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7722,50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7722,50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15291,00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2936,40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23851,10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5321,20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Обеспечение обследования новорожденных детей на наследственные заболевания (неонатальный скрининг), обследование беременных женщин: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пренатальная (дородовая) диагностика нарушений развития ребенка»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21446,50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21446,50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16990,00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3262,70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3427,70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3433,20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3433,20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3433,20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15291,00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2936,40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1699,00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326,30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342,80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скрининг) за счет средств областного бюджета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705,60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705,60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705,60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705,60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 «Реализация комплекса мероприятий по развитию медицинской реабилитации и санаторно-курортного лечения, в том числе детей»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9425,00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9425,00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Санаторное оздоровление детей, страдающих различными хроническими заболеваниями, состоящих на учете в лечебном учреждении области»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9425,00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9425,00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«Организация кадрового обеспечения областных государственных учреждений здравоохранения»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287128,90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78585,70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287128,90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78585,70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(оказание услуг) 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273424,50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74498,90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273424,50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74498,90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Социальная поддержка педагогических работников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«Выплата стипендий студентам, ординаторам, обучающимся в медицинских государственных образовательных организациях высшего образования, зачисленным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 целевому набору для Еврейской автономной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13617,60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13617,60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«Стимулирование привлечения и закрепления медицинских работников, имеющих высшее и среднее медицинское образование»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135000,00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125820,00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еализация мероприятий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 фельдшерско-акушерских пунктов), прибывшим (переехавшим) на работу в сельские на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селенные пункты, либо рабочие поселки, либо поселки городского типа, либо города с населением до 50 тысяч человек»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135000,00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27000,00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125820,00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24300,00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Комплекс процессных мероприятий «Переподготовка и повышение квалификации медицинских кадров»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64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pStyle w:val="964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«Переподготовка и повышение квалификации медицинских кадров»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224,40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«Совершенствование системы лекарственного обеспечения в амбулаторных условиях»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1542153,90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355986,00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294048,00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524469,70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104290,60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102550,80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1017684,20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251695,40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Оказание социальной помощи гражданам, удостоенным почетного звания «Почетный гражданин Еврейской автономной области», в части лекарственного обеспечения»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перечнем групп населения и категорий заболеваний»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945398,80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231650,00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945398,80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231650,00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же детей, рожденных ВИЧ-инфицированными матерями, проживающих на территории Еврейской автономной области»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5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Обеспечение детей с сахарным диабетом 1-го типа в возрасте от 2 до 4 лет системами непрерывного мониторинга глюкозы»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375,20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375,20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6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Обеспечение детей с сахарным диабетом 1-го типа в возрасте от 4 до 17 лет включительно системами непрерывного мониторинга глюкозы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4936,80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4936,80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4433,10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4433,10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7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Обеспечение граждан лекарственными препаратами, изделиями медицинского назначения в рамках Федерального закона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от 17.07.99 № 178-ФЗ «О государственной социальной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помощи», а также обеспечение продуктами лечебного питания для детей-инвалидов»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519651,40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99472,30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102550,80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519651,40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99472,30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102550,80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«Комплексная информатизация учреждений здравоохранения и формирование интеграционной среды для медицинских информационных систем»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111762,80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48962,80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111762,80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48962,80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Техническая поддержка региональной медицинской информационной системы»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109908,50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47108,50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109908,50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47108,50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Интеграция СПО «Исток» (подсистемы для обеспечения работы ОГБУЗ «Станция скорой медицинской помощи») с ГИСЗ «РМИС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«Совершенствование оказания паллиативной помощи взрослому населению и детям»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45284,70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8888,30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8326,90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9356,50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9356,50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9356,50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25372,10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4850,30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5115,30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19912,60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4038,00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3211,60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«Детская областная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«Онкологический диспансер»,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18063,80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3499,10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2885,10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18063,80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3499,10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2885,10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Мероприятие 1.1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.2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«Детская 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2624,90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2624,90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624,90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.3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«Онкологический диспансер»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1673,00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379,40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1.4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8011,10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1201,80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987,50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8011,10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1201,80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987,50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1.5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5267,20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1199,50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987,60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5267,20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1199,50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987,60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ероприятие 2 «Обеспечение медицинских организаций,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изделиями, в том числе для использования на дому»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27220,90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5389,20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5441,80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5463,50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5463,50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5463,50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25372,10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4850,30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5115,30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1848,80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538,90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326,50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«Предоставление услуг организациями государственной системы здравоохранения,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обеспечивающими функционирование отрасли, и осуществление иных мероприятий в сфере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160490,20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37931,00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160490,20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37931,00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21205,80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4944,20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21205,80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4944,20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4065,40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139284,40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32986,80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139284,40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32986,80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26574,40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7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«Предоставление услуг патолого-анатомическими отделениями областных учреждений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Расходы на обеспечение деятельности (оказание услуг) (патолого-анатомические отделения)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Облученская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«Ленинская центральная районная больница»,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больница»,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1.1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«Областная больница» (патолого-анатомическое отделение)»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15720,10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3742,90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15720,10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3742,90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1.2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Облученская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 (патолого-анатомическое отделение)»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324,60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1.3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«Ленинская центральная районная больница» (патолого-анатомическое отделение)»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683,60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683,60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130,20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1.4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Смидовичская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районная больница» (патолого-анатомическое отделение)»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1.5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ОГБУЗ «Николаевская районная больница» (патолого-анатомическое отделение)»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 «Страховые взносы на обязательное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медицинское страхование неработающего населения»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5417923,60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1178346,90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5417923,60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1178346,90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Обязательное медицинское страхование неработающего населения»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5417923,60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1178346,90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5417923,60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1178346,90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 процессных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мероприятий «Совершенствование системы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оказания медицинской помощи больным прочими заболеваниями»</w:t>
            </w:r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18547,60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3541,90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3725,40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3760,10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3760,10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3760,10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16698,50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3187,70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3358,50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3384,10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3384,10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3384,10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1849,10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354,20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1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«Профилактика ВИЧ-инфекции и гепатитов B и C, в том числе с привлечением к реализации указанных мероприятий социально ориентированных некоммерческих организаций»</w:t>
            </w:r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1628,30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352,60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331,60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1466,70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317,30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283,20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161,60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«Закупка диагнос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Федерации»</w:t>
            </w:r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3703,50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717,60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3331,90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753,50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641,00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645,80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645,80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645,80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371,60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72,50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71,80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Мероприятие 3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13215,80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2352,10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2680,30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2727,80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2727,80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2727,80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11899,90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2116,90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2417,70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2455,10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2455,10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2455,10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1315,90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235,20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262,60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 процессных мероприятий «Предоставление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ия скорой, в том числе скорой специализированной, медицинской помощи в пределах базовой программы обязательного медицинского страхования»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циализированной, медицинской помощи в пределах базовой программы обязательного медицинского страхования»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«Мероприятия, направленные на профилактику и устранение последствий распространения коронавирусной инфекции»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по борьбе с новой коронавирусной инфекцией (COVID-19) – организация обеспечения кислородом 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306650,30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101331,20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298317,90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100317,90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8332,40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1013,30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«Проведение ремонтных работ в 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305319,10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297000,00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Разработка описания местоположения границ округа горно-санитарной охраны курорта 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594,00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роведение работ по вынесению на местность установленных границ округов санитарной (горно-санитарной) охраны курортов и лечебно-оздоровительных местностей и установление на границах второй и третей зон округа санитарной (горно-санитарной) охраны информацион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ных табло с информацией о режиме этих зон»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580,00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574,20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574,20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4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специальных медицинских заключений лечебно-оздоровительных местностей и курортов»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3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jc w:val="center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Финансовое обеспечение государственной программы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3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направлениям расходов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3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3702" w:type="dxa"/>
        <w:tblInd w:w="91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98"/>
        <w:gridCol w:w="1397"/>
        <w:gridCol w:w="1329"/>
        <w:gridCol w:w="1396"/>
        <w:gridCol w:w="1397"/>
        <w:gridCol w:w="1367"/>
        <w:gridCol w:w="13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center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0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63"/>
        <w:spacing w:line="1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3702" w:type="dxa"/>
        <w:tblInd w:w="91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98"/>
        <w:gridCol w:w="1397"/>
        <w:gridCol w:w="1329"/>
        <w:gridCol w:w="1396"/>
        <w:gridCol w:w="1397"/>
        <w:gridCol w:w="1367"/>
        <w:gridCol w:w="1318"/>
      </w:tblGrid>
      <w:tr>
        <w:trPr>
          <w:trHeight w:val="15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Merge w:val="restart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1742265,20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83845,30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501828,40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330977,50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9884259,10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2224565,40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2046406,10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1896371,00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210752,10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76994,30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133757,80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4837,20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1758,40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3078,80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Merge w:val="restart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Merge w:val="restart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Merge w:val="restart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1531513,10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406851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368070,60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330977,50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9879421,90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2222807,00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2043327,30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1896371,00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63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first" r:id="rId11"/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1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/>
  </w:p>
  <w:p>
    <w:pPr>
      <w:pStyle w:val="8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  <w:jc w:val="center"/>
    </w:pPr>
    <w:r/>
    <w:r/>
  </w:p>
  <w:p>
    <w:pPr>
      <w:pStyle w:val="8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  <w:jc w:val="center"/>
    </w:pPr>
    <w:r/>
    <w:r/>
  </w:p>
  <w:p>
    <w:pPr>
      <w:pStyle w:val="8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24"/>
  </w:num>
  <w:num w:numId="8">
    <w:abstractNumId w:val="6"/>
  </w:num>
  <w:num w:numId="9">
    <w:abstractNumId w:val="15"/>
  </w:num>
  <w:num w:numId="10">
    <w:abstractNumId w:val="16"/>
  </w:num>
  <w:num w:numId="11">
    <w:abstractNumId w:val="14"/>
  </w:num>
  <w:num w:numId="12">
    <w:abstractNumId w:val="17"/>
  </w:num>
  <w:num w:numId="13">
    <w:abstractNumId w:val="5"/>
  </w:num>
  <w:num w:numId="14">
    <w:abstractNumId w:val="4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8"/>
  </w:num>
  <w:num w:numId="23">
    <w:abstractNumId w:val="12"/>
  </w:num>
  <w:num w:numId="24">
    <w:abstractNumId w:val="25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2">
    <w:name w:val="Heading 1 Char"/>
    <w:basedOn w:val="789"/>
    <w:link w:val="780"/>
    <w:uiPriority w:val="9"/>
    <w:rPr>
      <w:rFonts w:ascii="Arial" w:hAnsi="Arial" w:eastAsia="Arial" w:cs="Arial"/>
      <w:sz w:val="40"/>
      <w:szCs w:val="40"/>
    </w:rPr>
  </w:style>
  <w:style w:type="character" w:styleId="763">
    <w:name w:val="Heading 2 Char"/>
    <w:basedOn w:val="789"/>
    <w:link w:val="781"/>
    <w:uiPriority w:val="9"/>
    <w:rPr>
      <w:rFonts w:ascii="Arial" w:hAnsi="Arial" w:eastAsia="Arial" w:cs="Arial"/>
      <w:sz w:val="34"/>
    </w:rPr>
  </w:style>
  <w:style w:type="character" w:styleId="764">
    <w:name w:val="Heading 3 Char"/>
    <w:basedOn w:val="789"/>
    <w:link w:val="782"/>
    <w:uiPriority w:val="9"/>
    <w:rPr>
      <w:rFonts w:ascii="Arial" w:hAnsi="Arial" w:eastAsia="Arial" w:cs="Arial"/>
      <w:sz w:val="30"/>
      <w:szCs w:val="30"/>
    </w:rPr>
  </w:style>
  <w:style w:type="character" w:styleId="765">
    <w:name w:val="Heading 4 Char"/>
    <w:basedOn w:val="789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66">
    <w:name w:val="Heading 5 Char"/>
    <w:basedOn w:val="789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67">
    <w:name w:val="Heading 6 Char"/>
    <w:basedOn w:val="789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68">
    <w:name w:val="Heading 7 Char"/>
    <w:basedOn w:val="789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8 Char"/>
    <w:basedOn w:val="789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770">
    <w:name w:val="Heading 9 Char"/>
    <w:basedOn w:val="789"/>
    <w:link w:val="788"/>
    <w:uiPriority w:val="9"/>
    <w:rPr>
      <w:rFonts w:ascii="Arial" w:hAnsi="Arial" w:eastAsia="Arial" w:cs="Arial"/>
      <w:i/>
      <w:iCs/>
      <w:sz w:val="21"/>
      <w:szCs w:val="21"/>
    </w:rPr>
  </w:style>
  <w:style w:type="character" w:styleId="771">
    <w:name w:val="Title Char"/>
    <w:basedOn w:val="789"/>
    <w:link w:val="801"/>
    <w:uiPriority w:val="10"/>
    <w:rPr>
      <w:sz w:val="48"/>
      <w:szCs w:val="48"/>
    </w:rPr>
  </w:style>
  <w:style w:type="character" w:styleId="772">
    <w:name w:val="Subtitle Char"/>
    <w:basedOn w:val="789"/>
    <w:link w:val="803"/>
    <w:uiPriority w:val="11"/>
    <w:rPr>
      <w:sz w:val="24"/>
      <w:szCs w:val="24"/>
    </w:rPr>
  </w:style>
  <w:style w:type="character" w:styleId="773">
    <w:name w:val="Quote Char"/>
    <w:link w:val="805"/>
    <w:uiPriority w:val="29"/>
    <w:rPr>
      <w:i/>
    </w:rPr>
  </w:style>
  <w:style w:type="character" w:styleId="774">
    <w:name w:val="Intense Quote Char"/>
    <w:link w:val="807"/>
    <w:uiPriority w:val="30"/>
    <w:rPr>
      <w:i/>
    </w:rPr>
  </w:style>
  <w:style w:type="character" w:styleId="775">
    <w:name w:val="Header Char"/>
    <w:basedOn w:val="789"/>
    <w:link w:val="809"/>
    <w:uiPriority w:val="99"/>
  </w:style>
  <w:style w:type="character" w:styleId="776">
    <w:name w:val="Caption Char"/>
    <w:basedOn w:val="813"/>
    <w:link w:val="811"/>
    <w:uiPriority w:val="99"/>
  </w:style>
  <w:style w:type="character" w:styleId="777">
    <w:name w:val="Footnote Text Char"/>
    <w:link w:val="942"/>
    <w:uiPriority w:val="99"/>
    <w:rPr>
      <w:sz w:val="18"/>
    </w:rPr>
  </w:style>
  <w:style w:type="character" w:styleId="778">
    <w:name w:val="Endnote Text Char"/>
    <w:link w:val="945"/>
    <w:uiPriority w:val="99"/>
    <w:rPr>
      <w:sz w:val="20"/>
    </w:rPr>
  </w:style>
  <w:style w:type="paragraph" w:styleId="779" w:default="1">
    <w:name w:val="Normal"/>
    <w:qFormat/>
  </w:style>
  <w:style w:type="paragraph" w:styleId="780">
    <w:name w:val="Heading 1"/>
    <w:basedOn w:val="779"/>
    <w:next w:val="779"/>
    <w:link w:val="7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81">
    <w:name w:val="Heading 2"/>
    <w:basedOn w:val="779"/>
    <w:next w:val="779"/>
    <w:link w:val="7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2">
    <w:name w:val="Heading 3"/>
    <w:basedOn w:val="779"/>
    <w:next w:val="779"/>
    <w:link w:val="7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3">
    <w:name w:val="Heading 4"/>
    <w:basedOn w:val="779"/>
    <w:next w:val="779"/>
    <w:link w:val="7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779"/>
    <w:next w:val="779"/>
    <w:link w:val="7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779"/>
    <w:next w:val="779"/>
    <w:link w:val="7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86">
    <w:name w:val="Heading 7"/>
    <w:basedOn w:val="779"/>
    <w:next w:val="779"/>
    <w:link w:val="7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87">
    <w:name w:val="Heading 8"/>
    <w:basedOn w:val="779"/>
    <w:next w:val="779"/>
    <w:link w:val="7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88">
    <w:name w:val="Heading 9"/>
    <w:basedOn w:val="779"/>
    <w:next w:val="779"/>
    <w:link w:val="8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 w:default="1">
    <w:name w:val="Default Paragraph Font"/>
    <w:uiPriority w:val="1"/>
    <w:semiHidden/>
    <w:unhideWhenUsed/>
  </w:style>
  <w:style w:type="table" w:styleId="7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1" w:default="1">
    <w:name w:val="No List"/>
    <w:uiPriority w:val="99"/>
    <w:semiHidden/>
    <w:unhideWhenUsed/>
  </w:style>
  <w:style w:type="character" w:styleId="792" w:customStyle="1">
    <w:name w:val="Заголовок 1 Знак"/>
    <w:link w:val="780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Заголовок 2 Знак"/>
    <w:link w:val="781"/>
    <w:uiPriority w:val="9"/>
    <w:rPr>
      <w:rFonts w:ascii="Arial" w:hAnsi="Arial" w:eastAsia="Arial" w:cs="Arial"/>
      <w:sz w:val="34"/>
    </w:rPr>
  </w:style>
  <w:style w:type="character" w:styleId="794" w:customStyle="1">
    <w:name w:val="Заголовок 3 Знак"/>
    <w:link w:val="782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Title"/>
    <w:basedOn w:val="779"/>
    <w:next w:val="779"/>
    <w:link w:val="802"/>
    <w:uiPriority w:val="10"/>
    <w:qFormat/>
    <w:pPr>
      <w:contextualSpacing/>
      <w:spacing w:before="300"/>
    </w:pPr>
    <w:rPr>
      <w:sz w:val="48"/>
      <w:szCs w:val="48"/>
    </w:rPr>
  </w:style>
  <w:style w:type="character" w:styleId="802" w:customStyle="1">
    <w:name w:val="Заголовок Знак"/>
    <w:link w:val="801"/>
    <w:uiPriority w:val="10"/>
    <w:rPr>
      <w:sz w:val="48"/>
      <w:szCs w:val="48"/>
    </w:rPr>
  </w:style>
  <w:style w:type="paragraph" w:styleId="803">
    <w:name w:val="Subtitle"/>
    <w:basedOn w:val="779"/>
    <w:next w:val="779"/>
    <w:link w:val="804"/>
    <w:uiPriority w:val="11"/>
    <w:qFormat/>
    <w:pPr>
      <w:spacing w:before="200"/>
    </w:pPr>
    <w:rPr>
      <w:sz w:val="24"/>
      <w:szCs w:val="24"/>
    </w:rPr>
  </w:style>
  <w:style w:type="character" w:styleId="804" w:customStyle="1">
    <w:name w:val="Подзаголовок Знак"/>
    <w:link w:val="803"/>
    <w:uiPriority w:val="11"/>
    <w:rPr>
      <w:sz w:val="24"/>
      <w:szCs w:val="24"/>
    </w:rPr>
  </w:style>
  <w:style w:type="paragraph" w:styleId="805">
    <w:name w:val="Quote"/>
    <w:basedOn w:val="779"/>
    <w:next w:val="779"/>
    <w:link w:val="806"/>
    <w:uiPriority w:val="29"/>
    <w:qFormat/>
    <w:pPr>
      <w:ind w:left="720" w:right="720"/>
    </w:pPr>
    <w:rPr>
      <w:i/>
    </w:rPr>
  </w:style>
  <w:style w:type="character" w:styleId="806" w:customStyle="1">
    <w:name w:val="Цитата 2 Знак"/>
    <w:link w:val="805"/>
    <w:uiPriority w:val="29"/>
    <w:rPr>
      <w:i/>
    </w:rPr>
  </w:style>
  <w:style w:type="paragraph" w:styleId="807">
    <w:name w:val="Intense Quote"/>
    <w:basedOn w:val="779"/>
    <w:next w:val="779"/>
    <w:link w:val="8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 w:customStyle="1">
    <w:name w:val="Выделенная цитата Знак"/>
    <w:link w:val="807"/>
    <w:uiPriority w:val="30"/>
    <w:rPr>
      <w:i/>
    </w:rPr>
  </w:style>
  <w:style w:type="paragraph" w:styleId="809">
    <w:name w:val="Header"/>
    <w:basedOn w:val="779"/>
    <w:link w:val="8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 w:customStyle="1">
    <w:name w:val="Верхний колонтитул Знак"/>
    <w:link w:val="809"/>
    <w:uiPriority w:val="99"/>
  </w:style>
  <w:style w:type="paragraph" w:styleId="811">
    <w:name w:val="Footer"/>
    <w:basedOn w:val="779"/>
    <w:link w:val="8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2" w:customStyle="1">
    <w:name w:val="Footer Char"/>
    <w:uiPriority w:val="99"/>
  </w:style>
  <w:style w:type="paragraph" w:styleId="813">
    <w:name w:val="Caption"/>
    <w:basedOn w:val="779"/>
    <w:next w:val="7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14" w:customStyle="1">
    <w:name w:val="Нижний колонтитул Знак"/>
    <w:link w:val="811"/>
    <w:uiPriority w:val="99"/>
  </w:style>
  <w:style w:type="table" w:styleId="815">
    <w:name w:val="Table Grid"/>
    <w:basedOn w:val="7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6" w:customStyle="1">
    <w:name w:val="Table Grid Light"/>
    <w:basedOn w:val="7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45" w:customStyle="1">
    <w:name w:val="Grid Table 4 - Accent 2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Grid Table 4 - Accent 3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7" w:customStyle="1">
    <w:name w:val="Grid Table 4 - Accent 4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Grid Table 4 - Accent 5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49" w:customStyle="1">
    <w:name w:val="Grid Table 4 - Accent 6"/>
    <w:basedOn w:val="7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0">
    <w:name w:val="Grid Table 5 Dark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59" w:customStyle="1">
    <w:name w:val="Grid Table 6 Colorful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0" w:customStyle="1">
    <w:name w:val="Grid Table 6 Colorful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1" w:customStyle="1">
    <w:name w:val="Grid Table 6 Colorful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2" w:customStyle="1">
    <w:name w:val="Grid Table 6 Colorful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3" w:customStyle="1">
    <w:name w:val="Grid Table 6 Colorful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4">
    <w:name w:val="Grid Table 7 Colorful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8" w:customStyle="1">
    <w:name w:val="List Table 6 Colorful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9" w:customStyle="1">
    <w:name w:val="List Table 6 Colorful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0" w:customStyle="1">
    <w:name w:val="List Table 6 Colorful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1" w:customStyle="1">
    <w:name w:val="List Table 6 Colorful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2" w:customStyle="1">
    <w:name w:val="List Table 6 Colorful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3">
    <w:name w:val="List Table 7 Colorful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ned - Accent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2" w:customStyle="1">
    <w:name w:val="Lined - Accent 2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3" w:customStyle="1">
    <w:name w:val="Lined - Accent 3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4" w:customStyle="1">
    <w:name w:val="Lined - Accent 4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5" w:customStyle="1">
    <w:name w:val="Lined - Accent 5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6" w:customStyle="1">
    <w:name w:val="Lined - Accent 6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7" w:customStyle="1">
    <w:name w:val="Bordered &amp; Lined - Accent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9" w:customStyle="1">
    <w:name w:val="Bordered &amp; Lined - Accent 2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0" w:customStyle="1">
    <w:name w:val="Bordered &amp; Lined - Accent 3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1" w:customStyle="1">
    <w:name w:val="Bordered &amp; Lined - Accent 4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2" w:customStyle="1">
    <w:name w:val="Bordered &amp; Lined - Accent 5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3" w:customStyle="1">
    <w:name w:val="Bordered &amp; Lined - Accent 6"/>
    <w:basedOn w:val="7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4" w:customStyle="1">
    <w:name w:val="Bordered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6" w:customStyle="1">
    <w:name w:val="Bordered - Accent 2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7" w:customStyle="1">
    <w:name w:val="Bordered - Accent 3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8" w:customStyle="1">
    <w:name w:val="Bordered - Accent 4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9" w:customStyle="1">
    <w:name w:val="Bordered - Accent 5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0" w:customStyle="1">
    <w:name w:val="Bordered - Accent 6"/>
    <w:basedOn w:val="7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41">
    <w:name w:val="Hyperlink"/>
    <w:uiPriority w:val="99"/>
    <w:unhideWhenUsed/>
    <w:rPr>
      <w:color w:val="0563c1" w:themeColor="hyperlink"/>
      <w:u w:val="single"/>
    </w:rPr>
  </w:style>
  <w:style w:type="paragraph" w:styleId="942">
    <w:name w:val="footnote text"/>
    <w:basedOn w:val="779"/>
    <w:link w:val="943"/>
    <w:uiPriority w:val="99"/>
    <w:semiHidden/>
    <w:unhideWhenUsed/>
    <w:pPr>
      <w:spacing w:after="40" w:line="240" w:lineRule="auto"/>
    </w:pPr>
    <w:rPr>
      <w:sz w:val="18"/>
    </w:rPr>
  </w:style>
  <w:style w:type="character" w:styleId="943" w:customStyle="1">
    <w:name w:val="Текст сноски Знак"/>
    <w:link w:val="942"/>
    <w:uiPriority w:val="99"/>
    <w:rPr>
      <w:sz w:val="18"/>
    </w:rPr>
  </w:style>
  <w:style w:type="character" w:styleId="944">
    <w:name w:val="footnote reference"/>
    <w:uiPriority w:val="99"/>
    <w:unhideWhenUsed/>
    <w:rPr>
      <w:vertAlign w:val="superscript"/>
    </w:rPr>
  </w:style>
  <w:style w:type="paragraph" w:styleId="945">
    <w:name w:val="endnote text"/>
    <w:basedOn w:val="779"/>
    <w:link w:val="946"/>
    <w:uiPriority w:val="99"/>
    <w:semiHidden/>
    <w:unhideWhenUsed/>
    <w:pPr>
      <w:spacing w:after="0" w:line="240" w:lineRule="auto"/>
    </w:pPr>
    <w:rPr>
      <w:sz w:val="20"/>
    </w:rPr>
  </w:style>
  <w:style w:type="character" w:styleId="946" w:customStyle="1">
    <w:name w:val="Текст концевой сноски Знак"/>
    <w:link w:val="945"/>
    <w:uiPriority w:val="99"/>
    <w:rPr>
      <w:sz w:val="20"/>
    </w:rPr>
  </w:style>
  <w:style w:type="character" w:styleId="947">
    <w:name w:val="endnote reference"/>
    <w:uiPriority w:val="99"/>
    <w:semiHidden/>
    <w:unhideWhenUsed/>
    <w:rPr>
      <w:vertAlign w:val="superscript"/>
    </w:rPr>
  </w:style>
  <w:style w:type="paragraph" w:styleId="948">
    <w:name w:val="toc 1"/>
    <w:basedOn w:val="779"/>
    <w:next w:val="779"/>
    <w:uiPriority w:val="39"/>
    <w:unhideWhenUsed/>
    <w:pPr>
      <w:spacing w:after="57"/>
    </w:pPr>
  </w:style>
  <w:style w:type="paragraph" w:styleId="949">
    <w:name w:val="toc 2"/>
    <w:basedOn w:val="779"/>
    <w:next w:val="779"/>
    <w:uiPriority w:val="39"/>
    <w:unhideWhenUsed/>
    <w:pPr>
      <w:ind w:left="283"/>
      <w:spacing w:after="57"/>
    </w:pPr>
  </w:style>
  <w:style w:type="paragraph" w:styleId="950">
    <w:name w:val="toc 3"/>
    <w:basedOn w:val="779"/>
    <w:next w:val="779"/>
    <w:uiPriority w:val="39"/>
    <w:unhideWhenUsed/>
    <w:pPr>
      <w:ind w:left="567"/>
      <w:spacing w:after="57"/>
    </w:pPr>
  </w:style>
  <w:style w:type="paragraph" w:styleId="951">
    <w:name w:val="toc 4"/>
    <w:basedOn w:val="779"/>
    <w:next w:val="779"/>
    <w:uiPriority w:val="39"/>
    <w:unhideWhenUsed/>
    <w:pPr>
      <w:ind w:left="850"/>
      <w:spacing w:after="57"/>
    </w:pPr>
  </w:style>
  <w:style w:type="paragraph" w:styleId="952">
    <w:name w:val="toc 5"/>
    <w:basedOn w:val="779"/>
    <w:next w:val="779"/>
    <w:uiPriority w:val="39"/>
    <w:unhideWhenUsed/>
    <w:pPr>
      <w:ind w:left="1134"/>
      <w:spacing w:after="57"/>
    </w:pPr>
  </w:style>
  <w:style w:type="paragraph" w:styleId="953">
    <w:name w:val="toc 6"/>
    <w:basedOn w:val="779"/>
    <w:next w:val="779"/>
    <w:uiPriority w:val="39"/>
    <w:unhideWhenUsed/>
    <w:pPr>
      <w:ind w:left="1417"/>
      <w:spacing w:after="57"/>
    </w:pPr>
  </w:style>
  <w:style w:type="paragraph" w:styleId="954">
    <w:name w:val="toc 7"/>
    <w:basedOn w:val="779"/>
    <w:next w:val="779"/>
    <w:uiPriority w:val="39"/>
    <w:unhideWhenUsed/>
    <w:pPr>
      <w:ind w:left="1701"/>
      <w:spacing w:after="57"/>
    </w:pPr>
  </w:style>
  <w:style w:type="paragraph" w:styleId="955">
    <w:name w:val="toc 8"/>
    <w:basedOn w:val="779"/>
    <w:next w:val="779"/>
    <w:uiPriority w:val="39"/>
    <w:unhideWhenUsed/>
    <w:pPr>
      <w:ind w:left="1984"/>
      <w:spacing w:after="57"/>
    </w:pPr>
  </w:style>
  <w:style w:type="paragraph" w:styleId="956">
    <w:name w:val="toc 9"/>
    <w:basedOn w:val="779"/>
    <w:next w:val="779"/>
    <w:uiPriority w:val="39"/>
    <w:unhideWhenUsed/>
    <w:pPr>
      <w:ind w:left="2268"/>
      <w:spacing w:after="57"/>
    </w:pPr>
  </w:style>
  <w:style w:type="paragraph" w:styleId="957">
    <w:name w:val="TOC Heading"/>
    <w:uiPriority w:val="39"/>
    <w:unhideWhenUsed/>
  </w:style>
  <w:style w:type="paragraph" w:styleId="958">
    <w:name w:val="table of figures"/>
    <w:basedOn w:val="779"/>
    <w:next w:val="779"/>
    <w:uiPriority w:val="99"/>
    <w:unhideWhenUsed/>
    <w:pPr>
      <w:spacing w:after="0"/>
    </w:pPr>
  </w:style>
  <w:style w:type="paragraph" w:styleId="959">
    <w:name w:val="No Spacing"/>
    <w:basedOn w:val="779"/>
    <w:uiPriority w:val="1"/>
    <w:qFormat/>
    <w:pPr>
      <w:spacing w:after="0" w:line="240" w:lineRule="auto"/>
    </w:pPr>
  </w:style>
  <w:style w:type="paragraph" w:styleId="960">
    <w:name w:val="List Paragraph"/>
    <w:basedOn w:val="779"/>
    <w:uiPriority w:val="34"/>
    <w:qFormat/>
    <w:pPr>
      <w:contextualSpacing/>
      <w:ind w:left="720"/>
    </w:pPr>
  </w:style>
  <w:style w:type="paragraph" w:styleId="961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sz w:val="20"/>
      <w:szCs w:val="20"/>
      <w:lang w:val="en-US" w:eastAsia="zh-CN"/>
    </w:rPr>
  </w:style>
  <w:style w:type="paragraph" w:styleId="962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sz w:val="20"/>
      <w:szCs w:val="20"/>
      <w:lang w:val="en-US" w:eastAsia="zh-CN"/>
    </w:rPr>
  </w:style>
  <w:style w:type="paragraph" w:styleId="963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val="en-US" w:eastAsia="zh-CN"/>
    </w:rPr>
  </w:style>
  <w:style w:type="paragraph" w:styleId="964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sz w:val="2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68</cp:revision>
  <dcterms:created xsi:type="dcterms:W3CDTF">2024-03-25T10:15:00Z</dcterms:created>
  <dcterms:modified xsi:type="dcterms:W3CDTF">2024-03-25T22:25:40Z</dcterms:modified>
</cp:coreProperties>
</file>